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0"/>
        <w:gridCol w:w="4580"/>
        <w:tblGridChange w:id="0">
          <w:tblGrid>
            <w:gridCol w:w="5500"/>
            <w:gridCol w:w="4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4f8a" w:val="clear"/>
            <w:tcMar>
              <w:top w:w="180.0" w:type="dxa"/>
              <w:left w:w="280.0" w:type="dxa"/>
              <w:bottom w:w="18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before="6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32"/>
                <w:szCs w:val="32"/>
                <w:rtl w:val="0"/>
              </w:rPr>
              <w:t xml:space="preserve">REMITTANCE ADVICE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b8d4f0"/>
                <w:sz w:val="18"/>
                <w:szCs w:val="18"/>
                <w:rtl w:val="0"/>
              </w:rPr>
              <w:t xml:space="preserve">Payment Notification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4f8a" w:val="clear"/>
            <w:tcMar>
              <w:top w:w="180.0" w:type="dxa"/>
              <w:left w:w="200.0" w:type="dxa"/>
              <w:bottom w:w="180.0" w:type="dxa"/>
              <w:right w:w="2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ACME CORPORATION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b8d4f0"/>
                <w:sz w:val="18"/>
                <w:szCs w:val="18"/>
                <w:rtl w:val="0"/>
              </w:rPr>
              <w:t xml:space="preserve">123 Business Avenue, Suite 400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b8d4f0"/>
                <w:sz w:val="18"/>
                <w:szCs w:val="18"/>
                <w:rtl w:val="0"/>
              </w:rPr>
              <w:t xml:space="preserve">Sydney NSW 2000, Australia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b8d4f0"/>
                <w:sz w:val="18"/>
                <w:szCs w:val="18"/>
                <w:rtl w:val="0"/>
              </w:rPr>
              <w:t xml:space="preserve">ABN: 12 345 678 901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10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0"/>
        <w:gridCol w:w="340"/>
        <w:gridCol w:w="4940"/>
        <w:tblGridChange w:id="0">
          <w:tblGrid>
            <w:gridCol w:w="4800"/>
            <w:gridCol w:w="340"/>
            <w:gridCol w:w="4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9" w:val="clear"/>
            <w:tcMar>
              <w:top w:w="160.0" w:type="dxa"/>
              <w:left w:w="200.0" w:type="dxa"/>
              <w:bottom w:w="16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888888"/>
                <w:sz w:val="16"/>
                <w:szCs w:val="16"/>
                <w:rtl w:val="0"/>
              </w:rPr>
              <w:t xml:space="preserve">PAYMENT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1b4f8a"/>
                <w:sz w:val="24"/>
                <w:szCs w:val="24"/>
                <w:rtl w:val="0"/>
              </w:rPr>
              <w:t xml:space="preserve">Vertex Solutions Pty 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PO Box 782, Melbourne VIC 3000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ABN: 98 765 432 100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e6db4"/>
                <w:sz w:val="18"/>
                <w:szCs w:val="18"/>
                <w:rtl w:val="0"/>
              </w:rPr>
              <w:t xml:space="preserve">accounts@vertexsolutions.com.au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2e6db4" w:space="0" w:sz="8" w:val="single"/>
              <w:bottom w:color="cccccc" w:space="0" w:sz="4" w:val="single"/>
              <w:right w:color="cccccc" w:space="0" w:sz="4" w:val="single"/>
            </w:tcBorders>
            <w:shd w:fill="d6e4f7" w:val="clear"/>
            <w:tcMar>
              <w:top w:w="160.0" w:type="dxa"/>
              <w:left w:w="200.0" w:type="dxa"/>
              <w:bottom w:w="16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888888"/>
                <w:sz w:val="16"/>
                <w:szCs w:val="16"/>
                <w:rtl w:val="0"/>
              </w:rPr>
              <w:t xml:space="preserve">PAYMENT DETAILS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62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200"/>
              <w:gridCol w:w="2420"/>
              <w:tblGridChange w:id="0">
                <w:tblGrid>
                  <w:gridCol w:w="2200"/>
                  <w:gridCol w:w="24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0.0" w:type="dxa"/>
                    <w:bottom w:w="6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color w:val="888888"/>
                      <w:sz w:val="18"/>
                      <w:szCs w:val="18"/>
                      <w:rtl w:val="0"/>
                    </w:rPr>
                    <w:t xml:space="preserve">Payment Reference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color w:val="4a4a4a"/>
                      <w:sz w:val="18"/>
                      <w:szCs w:val="18"/>
                      <w:rtl w:val="0"/>
                    </w:rPr>
                    <w:t xml:space="preserve">PAY-2025-0042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0.0" w:type="dxa"/>
                    <w:bottom w:w="6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color w:val="888888"/>
                      <w:sz w:val="18"/>
                      <w:szCs w:val="18"/>
                      <w:rtl w:val="0"/>
                    </w:rPr>
                    <w:t xml:space="preserve">Payment Date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color w:val="4a4a4a"/>
                      <w:sz w:val="18"/>
                      <w:szCs w:val="18"/>
                      <w:rtl w:val="0"/>
                    </w:rPr>
                    <w:t xml:space="preserve">28 February 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0.0" w:type="dxa"/>
                    <w:bottom w:w="6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color w:val="888888"/>
                      <w:sz w:val="18"/>
                      <w:szCs w:val="18"/>
                      <w:rtl w:val="0"/>
                    </w:rPr>
                    <w:t xml:space="preserve">Payment Method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color w:val="4a4a4a"/>
                      <w:sz w:val="18"/>
                      <w:szCs w:val="18"/>
                      <w:rtl w:val="0"/>
                    </w:rPr>
                    <w:t xml:space="preserve">Direct Bank Transfer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0.0" w:type="dxa"/>
                    <w:bottom w:w="6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color w:val="888888"/>
                      <w:sz w:val="18"/>
                      <w:szCs w:val="18"/>
                      <w:rtl w:val="0"/>
                    </w:rPr>
                    <w:t xml:space="preserve">Currency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60.0" w:type="dxa"/>
                    <w:left w:w="0.0" w:type="dxa"/>
                    <w:bottom w:w="6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color w:val="4a4a4a"/>
                      <w:sz w:val="18"/>
                      <w:szCs w:val="18"/>
                      <w:rtl w:val="0"/>
                    </w:rPr>
                    <w:t xml:space="preserve">AUD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6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2e6db4"/>
          <w:sz w:val="18"/>
          <w:szCs w:val="18"/>
          <w:rtl w:val="0"/>
        </w:rPr>
        <w:t xml:space="preserve">INVOICES COVERED BY THIS PAYMENT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1100"/>
        <w:gridCol w:w="2980"/>
        <w:gridCol w:w="1200"/>
        <w:gridCol w:w="1000"/>
        <w:gridCol w:w="900"/>
        <w:gridCol w:w="1400"/>
        <w:tblGridChange w:id="0">
          <w:tblGrid>
            <w:gridCol w:w="1500"/>
            <w:gridCol w:w="1100"/>
            <w:gridCol w:w="2980"/>
            <w:gridCol w:w="1200"/>
            <w:gridCol w:w="1000"/>
            <w:gridCol w:w="900"/>
            <w:gridCol w:w="1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b4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Invoice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b4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b4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b4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Gross (AUD)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b4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b4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Tax (GST)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b4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Net Payment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e6db4"/>
                <w:sz w:val="18"/>
                <w:szCs w:val="18"/>
                <w:rtl w:val="0"/>
              </w:rPr>
              <w:t xml:space="preserve">INV-20240891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12 Jan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Professional Services - Q4 Consulting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4,250.00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cc4400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425.00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4,675.00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e6db4"/>
                <w:sz w:val="18"/>
                <w:szCs w:val="18"/>
                <w:rtl w:val="0"/>
              </w:rPr>
              <w:t xml:space="preserve">INV-20240912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20 Jan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Software Licensing (Annual)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2,100.00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cc4400"/>
                <w:sz w:val="18"/>
                <w:szCs w:val="18"/>
                <w:rtl w:val="0"/>
              </w:rPr>
              <w:t xml:space="preserve">210.00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189.00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2,079.00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e6db4"/>
                <w:sz w:val="18"/>
                <w:szCs w:val="18"/>
                <w:rtl w:val="0"/>
              </w:rPr>
              <w:t xml:space="preserve">INV-20240934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28 Jan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Support &amp; Maintenance - 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850.00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cc4400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85.00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935.00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e6db4"/>
                <w:sz w:val="18"/>
                <w:szCs w:val="18"/>
                <w:rtl w:val="0"/>
              </w:rPr>
              <w:t xml:space="preserve">INV-20240951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05 Feb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Training Workshop (5 attendees)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3,500.00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cc4400"/>
                <w:sz w:val="18"/>
                <w:szCs w:val="18"/>
                <w:rtl w:val="0"/>
              </w:rPr>
              <w:t xml:space="preserve">350.00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315.00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4f6f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3,465.00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2e6db4"/>
                <w:sz w:val="18"/>
                <w:szCs w:val="18"/>
                <w:rtl w:val="0"/>
              </w:rPr>
              <w:t xml:space="preserve">INV-20240967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14 Feb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Hardware &amp; Equipment Supply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1,780.00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cc4400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178.00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0e0e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1,958.00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4f8a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4f8a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4f8a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4f8a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12,480.00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4f8a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aa80"/>
                <w:sz w:val="19"/>
                <w:szCs w:val="19"/>
                <w:rtl w:val="0"/>
              </w:rPr>
              <w:t xml:space="preserve">560.00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4f8a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9"/>
                <w:szCs w:val="19"/>
                <w:rtl w:val="0"/>
              </w:rPr>
              <w:t xml:space="preserve">1,192.00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4f8a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22"/>
                <w:szCs w:val="22"/>
                <w:rtl w:val="0"/>
              </w:rPr>
              <w:t xml:space="preserve">13,112.00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16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80"/>
        <w:gridCol w:w="3200"/>
        <w:tblGridChange w:id="0">
          <w:tblGrid>
            <w:gridCol w:w="6880"/>
            <w:gridCol w:w="3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4f6f9" w:val="clear"/>
            <w:tcMar>
              <w:top w:w="160.0" w:type="dxa"/>
              <w:left w:w="200.0" w:type="dxa"/>
              <w:bottom w:w="16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4a4a4a"/>
                <w:sz w:val="18"/>
                <w:szCs w:val="18"/>
                <w:rtl w:val="0"/>
              </w:rPr>
              <w:t xml:space="preserve">Banking Details for Reference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660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000"/>
              <w:gridCol w:w="4600"/>
              <w:tblGridChange w:id="0">
                <w:tblGrid>
                  <w:gridCol w:w="2000"/>
                  <w:gridCol w:w="46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50.0" w:type="dxa"/>
                    <w:left w:w="0.0" w:type="dxa"/>
                    <w:bottom w:w="5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color w:val="888888"/>
                      <w:sz w:val="18"/>
                      <w:szCs w:val="18"/>
                      <w:rtl w:val="0"/>
                    </w:rPr>
                    <w:t xml:space="preserve">Bank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50.0" w:type="dxa"/>
                    <w:left w:w="0.0" w:type="dxa"/>
                    <w:bottom w:w="5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color w:val="4a4a4a"/>
                      <w:sz w:val="18"/>
                      <w:szCs w:val="18"/>
                      <w:rtl w:val="0"/>
                    </w:rPr>
                    <w:t xml:space="preserve">Commonwealth Bank of Australia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50.0" w:type="dxa"/>
                    <w:left w:w="0.0" w:type="dxa"/>
                    <w:bottom w:w="5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color w:val="888888"/>
                      <w:sz w:val="18"/>
                      <w:szCs w:val="18"/>
                      <w:rtl w:val="0"/>
                    </w:rPr>
                    <w:t xml:space="preserve">BSB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50.0" w:type="dxa"/>
                    <w:left w:w="0.0" w:type="dxa"/>
                    <w:bottom w:w="5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color w:val="4a4a4a"/>
                      <w:sz w:val="18"/>
                      <w:szCs w:val="18"/>
                      <w:rtl w:val="0"/>
                    </w:rPr>
                    <w:t xml:space="preserve">062-000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50.0" w:type="dxa"/>
                    <w:left w:w="0.0" w:type="dxa"/>
                    <w:bottom w:w="5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color w:val="888888"/>
                      <w:sz w:val="18"/>
                      <w:szCs w:val="18"/>
                      <w:rtl w:val="0"/>
                    </w:rPr>
                    <w:t xml:space="preserve">Account No.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50.0" w:type="dxa"/>
                    <w:left w:w="0.0" w:type="dxa"/>
                    <w:bottom w:w="5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color w:val="4a4a4a"/>
                      <w:sz w:val="18"/>
                      <w:szCs w:val="18"/>
                      <w:rtl w:val="0"/>
                    </w:rPr>
                    <w:t xml:space="preserve">1234 5678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50.0" w:type="dxa"/>
                    <w:left w:w="0.0" w:type="dxa"/>
                    <w:bottom w:w="5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color w:val="888888"/>
                      <w:sz w:val="18"/>
                      <w:szCs w:val="18"/>
                      <w:rtl w:val="0"/>
                    </w:rPr>
                    <w:t xml:space="preserve">Account Name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50.0" w:type="dxa"/>
                    <w:left w:w="0.0" w:type="dxa"/>
                    <w:bottom w:w="5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spacing w:after="0" w:before="0" w:lineRule="auto"/>
                    <w:jc w:val="left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i w:val="0"/>
                      <w:iCs w:val="0"/>
                      <w:color w:val="4a4a4a"/>
                      <w:sz w:val="18"/>
                      <w:szCs w:val="18"/>
                      <w:rtl w:val="0"/>
                    </w:rPr>
                    <w:t xml:space="preserve">Vertex Solutions Pty Ltd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db4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18"/>
                <w:szCs w:val="18"/>
                <w:rtl w:val="0"/>
              </w:rPr>
              <w:t xml:space="preserve">TOTAL PAYMENT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color w:val="ffffff"/>
                <w:sz w:val="32"/>
                <w:szCs w:val="32"/>
                <w:rtl w:val="0"/>
              </w:rPr>
              <w:t xml:space="preserve">AUD $13,112.00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color w:val="b8d4f0"/>
                <w:sz w:val="16"/>
                <w:szCs w:val="16"/>
                <w:rtl w:val="0"/>
              </w:rPr>
              <w:t xml:space="preserve">Including GST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16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cccccc" w:space="8" w:sz="4" w:val="single"/>
        </w:pBdr>
        <w:spacing w:after="0" w:before="12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This remittance advice is sent for your records. Please contact our accounts payable team at ap@acmecorp.com.au or +61 2 9000 1234 if you have any queries.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888888"/>
          <w:sz w:val="16"/>
          <w:szCs w:val="16"/>
          <w:rtl w:val="0"/>
        </w:rPr>
        <w:t xml:space="preserve">Acme Corporation Pty Ltd  |  ABN 12 345 678 901  |  www.acmecorp.com.au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4a4a4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a4a4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